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Inter" w:cs="Inter" w:eastAsia="Inter" w:hAnsi="Inter"/>
          <w:b/>
          <w:bCs/>
          <w:caps/>
          <w:color w:val="2D4EF5"/>
          <w:spacing w:val="40"/>
          <w:sz w:val="18"/>
          <w:szCs w:val="18"/>
        </w:rPr>
        <w:t xml:space="preserve">Framework · Content Strategy</w:t>
      </w:r>
    </w:p>
    <w:p>
      <w:pPr>
        <w:pStyle w:val="Heading1"/>
        <w:spacing w:before="0" w:after="160"/>
      </w:pPr>
      <w:r>
        <w:rPr>
          <w:rFonts w:ascii="Inter" w:cs="Inter" w:eastAsia="Inter" w:hAnsi="Inter"/>
          <w:b/>
          <w:bCs/>
          <w:color w:val="0D0D0D"/>
          <w:sz w:val="52"/>
          <w:szCs w:val="52"/>
        </w:rPr>
        <w:t xml:space="preserve">The Content-Led Business Model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Organisation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Assessed by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Date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This framework maps the three layers of a content-led business and separates it from companies that simply do content marketing. Work through each layer in sequence.</w:t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The Core Distinction</w:t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Content marketing uses content to support a business. A content-led business uses content as the primary mechanism of growth.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Content Marketing Company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2D4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Content-Led Business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supports sales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EEF1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is the primary growth driver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Audience borrowed (ads, social)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EEF1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Audience owned (email, subscribers)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cost centre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EEF1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as compounding asset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Volume-based strategy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EEF1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Authority-based strategy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Dependent on paid channels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EEF1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Independent distribution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The Three Layers</w:t>
      </w:r>
    </w:p>
    <w:p>
      <w:pPr>
        <w:pStyle w:val="Heading3"/>
        <w:spacing w:before="240" w:after="80"/>
      </w:pPr>
      <w:r>
        <w:rPr>
          <w:rFonts w:ascii="Inter" w:cs="Inter" w:eastAsia="Inter" w:hAnsi="Inter"/>
          <w:b/>
          <w:bCs/>
          <w:color w:val="0D0D0D"/>
          <w:sz w:val="26"/>
          <w:szCs w:val="26"/>
        </w:rPr>
        <w:t xml:space="preserve">Layer 1 — Authority Layer</w:t>
      </w:r>
    </w:p>
    <w:p>
      <w:pPr>
        <w:spacing w:before="0" w:after="16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The foundation. This is what you are known for — the specific territory of thinking you own in your category. Without a clear authority layer, content marketing is just noise.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 documented point of view that is distinct and arguable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One or more named frameworks or methodologies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Proprietary data, research, or case studies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 content brand that would be recognisable without a logo</w:t>
      </w:r>
    </w:p>
    <w:p>
      <w:pPr>
        <w:spacing w:before="0" w:after="80"/>
      </w:pPr>
      <w:r>
        <w:t xml:space="preserve"/>
      </w:r>
    </w:p>
    <w:p>
      <w:pPr>
        <w:pStyle w:val="Heading3"/>
        <w:spacing w:before="240" w:after="80"/>
      </w:pPr>
      <w:r>
        <w:rPr>
          <w:rFonts w:ascii="Inter" w:cs="Inter" w:eastAsia="Inter" w:hAnsi="Inter"/>
          <w:b/>
          <w:bCs/>
          <w:color w:val="0D0D0D"/>
          <w:sz w:val="26"/>
          <w:szCs w:val="26"/>
        </w:rPr>
        <w:t xml:space="preserve">Layer 2 — Audience Layer</w:t>
      </w:r>
    </w:p>
    <w:p>
      <w:pPr>
        <w:spacing w:before="0" w:after="16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The compounding asset. Your owned audience is the moat. Borrowed audiences (social followers, paid traffic) disappear when you stop paying. Owned audiences compound.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An email list or subscriber base you control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A community or recurring touchpoint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Direct relationships with the people you serve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Distribution that does not depend on an algorithm</w:t>
      </w:r>
    </w:p>
    <w:p>
      <w:pPr>
        <w:spacing w:before="0" w:after="80"/>
      </w:pPr>
      <w:r>
        <w:t xml:space="preserve"/>
      </w:r>
    </w:p>
    <w:p>
      <w:pPr>
        <w:pStyle w:val="Heading3"/>
        <w:spacing w:before="240" w:after="80"/>
      </w:pPr>
      <w:r>
        <w:rPr>
          <w:rFonts w:ascii="Inter" w:cs="Inter" w:eastAsia="Inter" w:hAnsi="Inter"/>
          <w:b/>
          <w:bCs/>
          <w:color w:val="0D0D0D"/>
          <w:sz w:val="26"/>
          <w:szCs w:val="26"/>
        </w:rPr>
        <w:t xml:space="preserve">Layer 3 — Revenue Layer</w:t>
      </w:r>
    </w:p>
    <w:p>
      <w:pPr>
        <w:spacing w:before="0" w:after="16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The outcome. In a content-led business, content directly enables revenue — not just awareness. The revenue layer is where authority and audience convert.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Content that directly generates inbound pipeline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Content that shortens sales cycles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Content that enables retention and expansion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Products or services that emerge from content demand</w:t>
      </w:r>
    </w:p>
    <w:p>
      <w:pPr>
        <w:spacing w:before="0" w:after="80"/>
      </w:pPr>
      <w:r>
        <w:t xml:space="preserve"/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Readiness Assessment</w:t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Score each statement 1–5. This mirrors the interactive assessment on the website.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rPr>
          <w:tblHeader/>
        </w:trP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Statement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Layer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Our content represents a documented, specific point of view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Authority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We have at least one named framework or methodology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Authority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We produce original data or research others cite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Authority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Our revenue model is directly tied to content output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Authority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We have a growing owned audience (email, subscribers)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Audience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Our audience engages with content without paid promotion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Audience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We have a direct relationship with 500+ ideal customers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Audience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Our distribution does not depend on any single platform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Audience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Content directly generates inbound pipeline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Revenue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Customers reference our content in buying decisions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Revenue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Our content shortens the sales cycle measurably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Revenue</w:t>
            </w:r>
          </w:p>
        </w:tc>
      </w:tr>
      <w:tr>
        <w:tc>
          <w:tcPr>
            <w:tcW w:type="dxa" w:w="6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We have a content asset that compounds in value over time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>  / 5</w:t>
            </w:r>
          </w:p>
        </w:tc>
        <w:tc>
          <w:tcPr>
            <w:tcW w:type="dxa" w:w="1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6b6b6b"/>
                <w:sz w:val="20"/>
                <w:szCs w:val="20"/>
              </w:rPr>
              <w:t xml:space="preserve">Revenue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Your Score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Total: ___ / 60     Stage: ___________________________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Priority Action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Inter" w:cs="Inter" w:eastAsia="Inter" w:hAnsi="Inter"/>
                <w:color w:val="6b6b6b"/>
                <w:sz w:val="22"/>
                <w:szCs w:val="22"/>
              </w:rPr>
              <w:t xml:space="preserve">The layer with the lowest score is the constraint. Your next 90 days should focus here: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soorajdivakaran.com · Content Strategy Consulting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2E2" w:sz="4"/>
      </w:pBdr>
      <w:tabs>
        <w:tab w:val="right" w:pos="9360"/>
      </w:tabs>
      <w:spacing w:before="120"/>
    </w:pPr>
    <w:r>
      <w:rPr>
        <w:rFonts w:ascii="Inter" w:cs="Inter" w:eastAsia="Inter" w:hAnsi="Inter"/>
        <w:color w:val="6b6b6b"/>
        <w:sz w:val="18"/>
        <w:szCs w:val="18"/>
      </w:rPr>
      <w:t xml:space="preserve">Content-Led Business Model  ·  soorajdivakaran.com</w:t>
    </w:r>
    <w:r>
      <w:t xml:space="preserve">	</w:t>
    </w:r>
    <w:r>
      <w:rPr>
        <w:rFonts w:ascii="Inter" w:cs="Inter" w:eastAsia="Inter" w:hAnsi="Inter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60"/>
      <w:outlineLvl w:val="0"/>
    </w:pPr>
    <w:rPr>
      <w:rFonts w:ascii="Inter" w:cs="Inter" w:eastAsia="Inter" w:hAnsi="Inter"/>
      <w:b/>
      <w:bCs/>
      <w:color w:val="0D0D0D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Inter" w:cs="Inter" w:eastAsia="Inter" w:hAnsi="Inter"/>
      <w:b/>
      <w:bCs/>
      <w:color w:val="0D0D0D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40" w:after="80"/>
      <w:outlineLvl w:val="2"/>
    </w:pPr>
    <w:rPr>
      <w:rFonts w:ascii="Inter" w:cs="Inter" w:eastAsia="Inter" w:hAnsi="Inter"/>
      <w:b/>
      <w:bCs/>
      <w:color w:val="0D0D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2026-03-12T05:45:34.352Z</dcterms:created>
  <dcterms:modified xsi:type="dcterms:W3CDTF">2026-03-12T05:45:34.352Z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