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pPr>
      <w:r>
        <w:rPr>
          <w:rFonts w:ascii="Inter" w:cs="Inter" w:eastAsia="Inter" w:hAnsi="Inter"/>
          <w:b/>
          <w:bCs/>
          <w:caps/>
          <w:color w:val="2D4EF5"/>
          <w:spacing w:val="40"/>
          <w:sz w:val="18"/>
          <w:szCs w:val="18"/>
        </w:rPr>
        <w:t xml:space="preserve">Framework · Competitive Strategy</w:t>
      </w:r>
    </w:p>
    <w:p>
      <w:pPr>
        <w:pStyle w:val="Heading1"/>
        <w:spacing w:before="0" w:after="160"/>
      </w:pPr>
      <w:r>
        <w:rPr>
          <w:rFonts w:ascii="Inter" w:cs="Inter" w:eastAsia="Inter" w:hAnsi="Inter"/>
          <w:b/>
          <w:bCs/>
          <w:color w:val="0D0D0D"/>
          <w:sz w:val="52"/>
          <w:szCs w:val="52"/>
        </w:rPr>
        <w:t xml:space="preserve">The Content Moat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E2E2E2" w:sz="1"/>
              <w:left w:val="single" w:color="E2E2E2" w:sz="1"/>
              <w:bottom w:val="single" w:color="E2E2E2" w:sz="1"/>
              <w:right w:val="single" w:color="E2E2E2" w:sz="1"/>
            </w:tcBorders>
            <w:shd w:fill="F8F7F4" w:val="clear"/>
            <w:tcMar>
              <w:top w:type="dxa" w:w="80"/>
              <w:left w:type="dxa" w:w="120"/>
              <w:bottom w:type="dxa" w:w="80"/>
              <w:right w:type="dxa" w:w="120"/>
            </w:tcMar>
          </w:tcPr>
          <w:p>
            <w:r>
              <w:rPr>
                <w:rFonts w:ascii="Inter" w:cs="Inter" w:eastAsia="Inter" w:hAnsi="Inter"/>
                <w:b/>
                <w:bCs/>
                <w:color w:val="0D0D0D"/>
                <w:sz w:val="22"/>
                <w:szCs w:val="22"/>
              </w:rPr>
              <w:t xml:space="preserve">Organisation</w:t>
            </w:r>
          </w:p>
        </w:tc>
        <w:tc>
          <w:tcPr>
            <w:tcW w:type="dxa" w:w="69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
            </w:r>
          </w:p>
        </w:tc>
      </w:tr>
      <w:tr>
        <w:tc>
          <w:tcPr>
            <w:tcW w:type="dxa" w:w="2400"/>
            <w:tcBorders>
              <w:top w:val="single" w:color="E2E2E2" w:sz="1"/>
              <w:left w:val="single" w:color="E2E2E2" w:sz="1"/>
              <w:bottom w:val="single" w:color="E2E2E2" w:sz="1"/>
              <w:right w:val="single" w:color="E2E2E2" w:sz="1"/>
            </w:tcBorders>
            <w:shd w:fill="F8F7F4" w:val="clear"/>
            <w:tcMar>
              <w:top w:type="dxa" w:w="80"/>
              <w:left w:type="dxa" w:w="120"/>
              <w:bottom w:type="dxa" w:w="80"/>
              <w:right w:type="dxa" w:w="120"/>
            </w:tcMar>
          </w:tcPr>
          <w:p>
            <w:r>
              <w:rPr>
                <w:rFonts w:ascii="Inter" w:cs="Inter" w:eastAsia="Inter" w:hAnsi="Inter"/>
                <w:b/>
                <w:bCs/>
                <w:color w:val="0D0D0D"/>
                <w:sz w:val="22"/>
                <w:szCs w:val="22"/>
              </w:rPr>
              <w:t xml:space="preserve">Assessed by</w:t>
            </w:r>
          </w:p>
        </w:tc>
        <w:tc>
          <w:tcPr>
            <w:tcW w:type="dxa" w:w="69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
            </w:r>
          </w:p>
        </w:tc>
      </w:tr>
      <w:tr>
        <w:tc>
          <w:tcPr>
            <w:tcW w:type="dxa" w:w="2400"/>
            <w:tcBorders>
              <w:top w:val="single" w:color="E2E2E2" w:sz="1"/>
              <w:left w:val="single" w:color="E2E2E2" w:sz="1"/>
              <w:bottom w:val="single" w:color="E2E2E2" w:sz="1"/>
              <w:right w:val="single" w:color="E2E2E2" w:sz="1"/>
            </w:tcBorders>
            <w:shd w:fill="F8F7F4" w:val="clear"/>
            <w:tcMar>
              <w:top w:type="dxa" w:w="80"/>
              <w:left w:type="dxa" w:w="120"/>
              <w:bottom w:type="dxa" w:w="80"/>
              <w:right w:type="dxa" w:w="120"/>
            </w:tcMar>
          </w:tcPr>
          <w:p>
            <w:r>
              <w:rPr>
                <w:rFonts w:ascii="Inter" w:cs="Inter" w:eastAsia="Inter" w:hAnsi="Inter"/>
                <w:b/>
                <w:bCs/>
                <w:color w:val="0D0D0D"/>
                <w:sz w:val="22"/>
                <w:szCs w:val="22"/>
              </w:rPr>
              <w:t xml:space="preserve">Date</w:t>
            </w:r>
          </w:p>
        </w:tc>
        <w:tc>
          <w:tcPr>
            <w:tcW w:type="dxa" w:w="69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
            </w:r>
          </w:p>
        </w:tc>
      </w:tr>
    </w:tbl>
    <w:p>
      <w:pPr>
        <w:spacing w:before="0" w:after="200"/>
      </w:pPr>
      <w:r>
        <w:t xml:space="preserve"/>
      </w:r>
    </w:p>
    <w:p>
      <w:pPr>
        <w:spacing w:before="0" w:after="160"/>
      </w:pPr>
      <w:r>
        <w:rPr>
          <w:rFonts w:ascii="Inter" w:cs="Inter" w:eastAsia="Inter" w:hAnsi="Inter"/>
          <w:color w:val="6b6b6b"/>
          <w:sz w:val="24"/>
          <w:szCs w:val="24"/>
        </w:rPr>
        <w:t xml:space="preserve">A content moat is a competitive advantage created by content that is hard to replicate. This framework identifies four moat types and helps you assess which you have, which you are building, and where to focus.</w:t>
      </w:r>
    </w:p>
    <w:p>
      <w:pPr>
        <w:pBdr>
          <w:bottom w:val="single" w:color="E2E2E2" w:sz="4"/>
        </w:pBdr>
        <w:spacing w:before="240" w:after="240"/>
      </w:pPr>
      <w:r>
        <w:t xml:space="preserve"/>
      </w:r>
    </w:p>
    <w:p>
      <w:pPr>
        <w:pStyle w:val="Heading2"/>
        <w:spacing w:before="360" w:after="120"/>
      </w:pPr>
      <w:r>
        <w:rPr>
          <w:rFonts w:ascii="Inter" w:cs="Inter" w:eastAsia="Inter" w:hAnsi="Inter"/>
          <w:b/>
          <w:bCs/>
          <w:color w:val="0D0D0D"/>
          <w:sz w:val="32"/>
          <w:szCs w:val="32"/>
        </w:rPr>
        <w:t xml:space="preserve">What Makes a Moat</w:t>
      </w:r>
    </w:p>
    <w:p>
      <w:pPr>
        <w:pBdr>
          <w:left w:val="single" w:color="2D4EF5" w:sz="12" w:space="10"/>
        </w:pBdr>
        <w:spacing w:before="80" w:after="160"/>
        <w:ind w:left="360"/>
      </w:pPr>
      <w:r>
        <w:rPr>
          <w:rFonts w:ascii="Inter" w:cs="Inter" w:eastAsia="Inter" w:hAnsi="Inter"/>
          <w:color w:val="6b6b6b"/>
          <w:sz w:val="22"/>
          <w:szCs w:val="22"/>
        </w:rPr>
        <w:t xml:space="preserve">A moat is not content volume. Volume is easily replicated. A moat is structural — it exists because of how your content is built, what it is built from, and who trusts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Moat Type</w:t>
            </w:r>
          </w:p>
        </w:tc>
        <w:tc>
          <w:tcPr>
            <w:tcW w:type="dxa" w:w="312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What creates it</w:t>
            </w:r>
          </w:p>
        </w:tc>
        <w:tc>
          <w:tcPr>
            <w:tcW w:type="dxa" w:w="312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Hard to replicate because</w:t>
            </w:r>
          </w:p>
        </w:tc>
      </w:tr>
      <w:tr>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2D4EF5"/>
                <w:sz w:val="22"/>
                <w:szCs w:val="22"/>
              </w:rPr>
              <w:t xml:space="preserve">Proprietary Data</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Original research, surveys, datasets</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6b6b6b"/>
                <w:sz w:val="22"/>
                <w:szCs w:val="22"/>
              </w:rPr>
              <w:t xml:space="preserve">You own the data source</w:t>
            </w:r>
          </w:p>
        </w:tc>
      </w:tr>
      <w:tr>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2D4EF5"/>
                <w:sz w:val="22"/>
                <w:szCs w:val="22"/>
              </w:rPr>
              <w:t xml:space="preserve">POV &amp; Methodology</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Named frameworks, unique positions</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6b6b6b"/>
                <w:sz w:val="22"/>
                <w:szCs w:val="22"/>
              </w:rPr>
              <w:t xml:space="preserve">It comes from your experience</w:t>
            </w:r>
          </w:p>
        </w:tc>
      </w:tr>
      <w:tr>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2D4EF5"/>
                <w:sz w:val="22"/>
                <w:szCs w:val="22"/>
              </w:rPr>
              <w:t xml:space="preserve">Audience Trust</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Consistency, depth, direct relationship</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6b6b6b"/>
                <w:sz w:val="22"/>
                <w:szCs w:val="22"/>
              </w:rPr>
              <w:t xml:space="preserve">Trust is earned over time</w:t>
            </w:r>
          </w:p>
        </w:tc>
      </w:tr>
      <w:tr>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2D4EF5"/>
                <w:sz w:val="22"/>
                <w:szCs w:val="22"/>
              </w:rPr>
              <w:t xml:space="preserve">Content Architecture</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Interconnected content system</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6b6b6b"/>
                <w:sz w:val="22"/>
                <w:szCs w:val="22"/>
              </w:rPr>
              <w:t xml:space="preserve">The system is the asset, not individual pieces</w:t>
            </w:r>
          </w:p>
        </w:tc>
      </w:tr>
    </w:tbl>
    <w:p>
      <w:pPr>
        <w:spacing w:before="0" w:after="200"/>
      </w:pPr>
      <w:r>
        <w:t xml:space="preserve"/>
      </w:r>
    </w:p>
    <w:p>
      <w:pPr>
        <w:pStyle w:val="Heading2"/>
        <w:spacing w:before="360" w:after="120"/>
      </w:pPr>
      <w:r>
        <w:rPr>
          <w:rFonts w:ascii="Inter" w:cs="Inter" w:eastAsia="Inter" w:hAnsi="Inter"/>
          <w:b/>
          <w:bCs/>
          <w:color w:val="0D0D0D"/>
          <w:sz w:val="32"/>
          <w:szCs w:val="32"/>
        </w:rPr>
        <w:t xml:space="preserve">Moat Strength Analyser</w:t>
      </w:r>
    </w:p>
    <w:p>
      <w:pPr>
        <w:spacing w:before="0" w:after="160"/>
      </w:pPr>
      <w:r>
        <w:rPr>
          <w:rFonts w:ascii="Inter" w:cs="Inter" w:eastAsia="Inter" w:hAnsi="Inter"/>
          <w:color w:val="6b6b6b"/>
          <w:sz w:val="24"/>
          <w:szCs w:val="24"/>
        </w:rPr>
        <w:t xml:space="preserve">Score each statement 1–5 (1 = not at all, 5 = fully in place). This mirrors the interactive tool on the website.</w:t>
      </w:r>
    </w:p>
    <w:p>
      <w:pPr>
        <w:pStyle w:val="Heading3"/>
        <w:spacing w:before="240" w:after="80"/>
      </w:pPr>
      <w:r>
        <w:rPr>
          <w:rFonts w:ascii="Inter" w:cs="Inter" w:eastAsia="Inter" w:hAnsi="Inter"/>
          <w:b/>
          <w:bCs/>
          <w:color w:val="0D0D0D"/>
          <w:sz w:val="26"/>
          <w:szCs w:val="26"/>
        </w:rPr>
        <w:t xml:space="preserve">Moat 1 — Proprietary Data &amp; Research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1800"/>
      </w:tblGrid>
      <w:tr>
        <w:trPr>
          <w:tblHeader/>
        </w:trPr>
        <w:tc>
          <w:tcPr>
            <w:tcW w:type="dxa" w:w="756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Statement</w:t>
            </w:r>
          </w:p>
        </w:tc>
        <w:tc>
          <w:tcPr>
            <w:tcW w:type="dxa" w:w="180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pPr>
              <w:jc w:val="center"/>
            </w:pPr>
            <w:r>
              <w:rPr>
                <w:rFonts w:ascii="Inter" w:cs="Inter" w:eastAsia="Inter" w:hAnsi="Inter"/>
                <w:b/>
                <w:bCs/>
                <w:color w:val="FFFFFF"/>
                <w:sz w:val="22"/>
                <w:szCs w:val="22"/>
              </w:rPr>
              <w:t xml:space="preserve">Score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We publish original research at least once per year</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We have a proprietary dataset competitors cannot access</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Our data is cited by others in our industry</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bl>
    <w:p>
      <w:pPr>
        <w:spacing w:before="0" w:after="120"/>
      </w:pPr>
      <w:r>
        <w:t xml:space="preserve"/>
      </w:r>
    </w:p>
    <w:p>
      <w:pPr>
        <w:pStyle w:val="Heading3"/>
        <w:spacing w:before="240" w:after="80"/>
      </w:pPr>
      <w:r>
        <w:rPr>
          <w:rFonts w:ascii="Inter" w:cs="Inter" w:eastAsia="Inter" w:hAnsi="Inter"/>
          <w:b/>
          <w:bCs/>
          <w:color w:val="0D0D0D"/>
          <w:sz w:val="26"/>
          <w:szCs w:val="26"/>
        </w:rPr>
        <w:t xml:space="preserve">Moat 2 — POV &amp; Methodology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1800"/>
      </w:tblGrid>
      <w:tr>
        <w:trPr>
          <w:tblHeader/>
        </w:trPr>
        <w:tc>
          <w:tcPr>
            <w:tcW w:type="dxa" w:w="756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Statement</w:t>
            </w:r>
          </w:p>
        </w:tc>
        <w:tc>
          <w:tcPr>
            <w:tcW w:type="dxa" w:w="180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pPr>
              <w:jc w:val="center"/>
            </w:pPr>
            <w:r>
              <w:rPr>
                <w:rFonts w:ascii="Inter" w:cs="Inter" w:eastAsia="Inter" w:hAnsi="Inter"/>
                <w:b/>
                <w:bCs/>
                <w:color w:val="FFFFFF"/>
                <w:sz w:val="22"/>
                <w:szCs w:val="22"/>
              </w:rPr>
              <w:t xml:space="preserve">Score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We have at least one named framework that is ours</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Our content takes positions that others in our category avoid</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A reader could identify our content without seeing our brand name</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bl>
    <w:p>
      <w:pPr>
        <w:spacing w:before="0" w:after="120"/>
      </w:pPr>
      <w:r>
        <w:t xml:space="preserve"/>
      </w:r>
    </w:p>
    <w:p>
      <w:pPr>
        <w:pStyle w:val="Heading3"/>
        <w:spacing w:before="240" w:after="80"/>
      </w:pPr>
      <w:r>
        <w:rPr>
          <w:rFonts w:ascii="Inter" w:cs="Inter" w:eastAsia="Inter" w:hAnsi="Inter"/>
          <w:b/>
          <w:bCs/>
          <w:color w:val="0D0D0D"/>
          <w:sz w:val="26"/>
          <w:szCs w:val="26"/>
        </w:rPr>
        <w:t xml:space="preserve">Moat 3 — Audience Trust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1800"/>
      </w:tblGrid>
      <w:tr>
        <w:trPr>
          <w:tblHeader/>
        </w:trPr>
        <w:tc>
          <w:tcPr>
            <w:tcW w:type="dxa" w:w="756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Statement</w:t>
            </w:r>
          </w:p>
        </w:tc>
        <w:tc>
          <w:tcPr>
            <w:tcW w:type="dxa" w:w="180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pPr>
              <w:jc w:val="center"/>
            </w:pPr>
            <w:r>
              <w:rPr>
                <w:rFonts w:ascii="Inter" w:cs="Inter" w:eastAsia="Inter" w:hAnsi="Inter"/>
                <w:b/>
                <w:bCs/>
                <w:color w:val="FFFFFF"/>
                <w:sz w:val="22"/>
                <w:szCs w:val="22"/>
              </w:rPr>
              <w:t xml:space="preserve">Score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We have an owned audience of 1,000+ engaged subscribers</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Our audience responds to, shares, or replies to our content</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We have maintained a consistent publishing schedule for 12+ months</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bl>
    <w:p>
      <w:pPr>
        <w:spacing w:before="0" w:after="120"/>
      </w:pPr>
      <w:r>
        <w:t xml:space="preserve"/>
      </w:r>
    </w:p>
    <w:p>
      <w:pPr>
        <w:pStyle w:val="Heading3"/>
        <w:spacing w:before="240" w:after="80"/>
      </w:pPr>
      <w:r>
        <w:rPr>
          <w:rFonts w:ascii="Inter" w:cs="Inter" w:eastAsia="Inter" w:hAnsi="Inter"/>
          <w:b/>
          <w:bCs/>
          <w:color w:val="0D0D0D"/>
          <w:sz w:val="26"/>
          <w:szCs w:val="26"/>
        </w:rPr>
        <w:t xml:space="preserve">Moat 4 — Content Architecture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560"/>
        <w:gridCol w:w="1800"/>
      </w:tblGrid>
      <w:tr>
        <w:trPr>
          <w:tblHeader/>
        </w:trPr>
        <w:tc>
          <w:tcPr>
            <w:tcW w:type="dxa" w:w="756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Statement</w:t>
            </w:r>
          </w:p>
        </w:tc>
        <w:tc>
          <w:tcPr>
            <w:tcW w:type="dxa" w:w="180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pPr>
              <w:jc w:val="center"/>
            </w:pPr>
            <w:r>
              <w:rPr>
                <w:rFonts w:ascii="Inter" w:cs="Inter" w:eastAsia="Inter" w:hAnsi="Inter"/>
                <w:b/>
                <w:bCs/>
                <w:color w:val="FFFFFF"/>
                <w:sz w:val="22"/>
                <w:szCs w:val="22"/>
              </w:rPr>
              <w:t xml:space="preserve">Score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Our content pieces link to and reinforce each other</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We have cornerstone assets that have compounded in value over time</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r>
        <w:tc>
          <w:tcPr>
            <w:tcW w:type="dxa" w:w="75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Our content system would still work if one team member left</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5</w:t>
            </w:r>
          </w:p>
        </w:tc>
      </w:tr>
    </w:tbl>
    <w:p>
      <w:pPr>
        <w:spacing w:before="0" w:after="120"/>
      </w:pPr>
      <w:r>
        <w:t xml:space="preserve"/>
      </w:r>
    </w:p>
    <w:p>
      <w:pPr>
        <w:pBdr>
          <w:bottom w:val="single" w:color="E2E2E2" w:sz="4"/>
        </w:pBdr>
        <w:spacing w:before="240" w:after="240"/>
      </w:pPr>
      <w:r>
        <w:t xml:space="preserve"/>
      </w:r>
    </w:p>
    <w:p>
      <w:pPr>
        <w:pStyle w:val="Heading2"/>
        <w:spacing w:before="360" w:after="120"/>
      </w:pPr>
      <w:r>
        <w:rPr>
          <w:rFonts w:ascii="Inter" w:cs="Inter" w:eastAsia="Inter" w:hAnsi="Inter"/>
          <w:b/>
          <w:bCs/>
          <w:color w:val="0D0D0D"/>
          <w:sz w:val="32"/>
          <w:szCs w:val="32"/>
        </w:rPr>
        <w:t xml:space="preserve">Score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1800"/>
        <w:gridCol w:w="1800"/>
      </w:tblGrid>
      <w:tr>
        <w:trPr>
          <w:tblHeader/>
        </w:trPr>
        <w:tc>
          <w:tcPr>
            <w:tcW w:type="dxa" w:w="576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Moat</w:t>
            </w:r>
          </w:p>
        </w:tc>
        <w:tc>
          <w:tcPr>
            <w:tcW w:type="dxa" w:w="180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pPr>
              <w:jc w:val="center"/>
            </w:pPr>
            <w:r>
              <w:rPr>
                <w:rFonts w:ascii="Inter" w:cs="Inter" w:eastAsia="Inter" w:hAnsi="Inter"/>
                <w:b/>
                <w:bCs/>
                <w:color w:val="FFFFFF"/>
                <w:sz w:val="22"/>
                <w:szCs w:val="22"/>
              </w:rPr>
              <w:t xml:space="preserve">Score</w:t>
            </w:r>
          </w:p>
        </w:tc>
        <w:tc>
          <w:tcPr>
            <w:tcW w:type="dxa" w:w="180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pPr>
              <w:jc w:val="center"/>
            </w:pPr>
            <w:r>
              <w:rPr>
                <w:rFonts w:ascii="Inter" w:cs="Inter" w:eastAsia="Inter" w:hAnsi="Inter"/>
                <w:b/>
                <w:bCs/>
                <w:color w:val="FFFFFF"/>
                <w:sz w:val="22"/>
                <w:szCs w:val="22"/>
              </w:rPr>
              <w:t xml:space="preserve">Max</w:t>
            </w:r>
          </w:p>
        </w:tc>
      </w:tr>
      <w:tr>
        <w:tc>
          <w:tcPr>
            <w:tcW w:type="dxa" w:w="57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Proprietary Data &amp; Research</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15</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6b6b6b"/>
                <w:sz w:val="22"/>
                <w:szCs w:val="22"/>
              </w:rPr>
              <w:t xml:space="preserve">15</w:t>
            </w:r>
          </w:p>
        </w:tc>
      </w:tr>
      <w:tr>
        <w:tc>
          <w:tcPr>
            <w:tcW w:type="dxa" w:w="57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POV &amp; Methodology</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15</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6b6b6b"/>
                <w:sz w:val="22"/>
                <w:szCs w:val="22"/>
              </w:rPr>
              <w:t xml:space="preserve">15</w:t>
            </w:r>
          </w:p>
        </w:tc>
      </w:tr>
      <w:tr>
        <w:tc>
          <w:tcPr>
            <w:tcW w:type="dxa" w:w="57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Audience Trust</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15</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6b6b6b"/>
                <w:sz w:val="22"/>
                <w:szCs w:val="22"/>
              </w:rPr>
              <w:t xml:space="preserve">15</w:t>
            </w:r>
          </w:p>
        </w:tc>
      </w:tr>
      <w:tr>
        <w:tc>
          <w:tcPr>
            <w:tcW w:type="dxa" w:w="576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0D0D0D"/>
                <w:sz w:val="22"/>
                <w:szCs w:val="22"/>
              </w:rPr>
              <w:t xml:space="preserve">Content Architecture</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0D0D0D"/>
                <w:sz w:val="22"/>
                <w:szCs w:val="22"/>
              </w:rPr>
              <w:t xml:space="preserve">   / 15</w:t>
            </w:r>
          </w:p>
        </w:tc>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pPr>
              <w:jc w:val="center"/>
            </w:pPr>
            <w:r>
              <w:rPr>
                <w:rFonts w:ascii="Inter" w:cs="Inter" w:eastAsia="Inter" w:hAnsi="Inter"/>
                <w:color w:val="6b6b6b"/>
                <w:sz w:val="22"/>
                <w:szCs w:val="22"/>
              </w:rPr>
              <w:t xml:space="preserve">15</w:t>
            </w:r>
          </w:p>
        </w:tc>
      </w:tr>
      <w:tr>
        <w:tc>
          <w:tcPr>
            <w:tcW w:type="dxa" w:w="5760"/>
            <w:tcBorders>
              <w:top w:val="single" w:color="E2E2E2" w:sz="1"/>
              <w:left w:val="single" w:color="E2E2E2" w:sz="1"/>
              <w:bottom w:val="single" w:color="E2E2E2" w:sz="1"/>
              <w:right w:val="single" w:color="E2E2E2" w:sz="1"/>
            </w:tcBorders>
            <w:shd w:fill="F8F7F4" w:val="clear"/>
            <w:tcMar>
              <w:top w:type="dxa" w:w="80"/>
              <w:left w:type="dxa" w:w="120"/>
              <w:bottom w:type="dxa" w:w="80"/>
              <w:right w:type="dxa" w:w="120"/>
            </w:tcMar>
          </w:tcPr>
          <w:p>
            <w:r>
              <w:rPr>
                <w:rFonts w:ascii="Inter" w:cs="Inter" w:eastAsia="Inter" w:hAnsi="Inter"/>
                <w:b/>
                <w:bCs/>
                <w:color w:val="0D0D0D"/>
                <w:sz w:val="24"/>
                <w:szCs w:val="24"/>
              </w:rPr>
              <w:t xml:space="preserve">TOTAL</w:t>
            </w:r>
          </w:p>
        </w:tc>
        <w:tc>
          <w:tcPr>
            <w:tcW w:type="dxa" w:w="1800"/>
            <w:tcBorders>
              <w:top w:val="single" w:color="E2E2E2" w:sz="1"/>
              <w:left w:val="single" w:color="E2E2E2" w:sz="1"/>
              <w:bottom w:val="single" w:color="E2E2E2" w:sz="1"/>
              <w:right w:val="single" w:color="E2E2E2" w:sz="1"/>
            </w:tcBorders>
            <w:shd w:fill="F8F7F4" w:val="clear"/>
            <w:tcMar>
              <w:top w:type="dxa" w:w="80"/>
              <w:left w:type="dxa" w:w="120"/>
              <w:bottom w:type="dxa" w:w="80"/>
              <w:right w:type="dxa" w:w="120"/>
            </w:tcMar>
          </w:tcPr>
          <w:p>
            <w:pPr>
              <w:jc w:val="center"/>
            </w:pPr>
            <w:r>
              <w:rPr>
                <w:rFonts w:ascii="Inter" w:cs="Inter" w:eastAsia="Inter" w:hAnsi="Inter"/>
                <w:b/>
                <w:bCs/>
                <w:color w:val="0D0D0D"/>
                <w:sz w:val="24"/>
                <w:szCs w:val="24"/>
              </w:rPr>
              <w:t xml:space="preserve">   / 60</w:t>
            </w:r>
          </w:p>
        </w:tc>
        <w:tc>
          <w:tcPr>
            <w:tcW w:type="dxa" w:w="1800"/>
            <w:tcBorders>
              <w:top w:val="single" w:color="E2E2E2" w:sz="1"/>
              <w:left w:val="single" w:color="E2E2E2" w:sz="1"/>
              <w:bottom w:val="single" w:color="E2E2E2" w:sz="1"/>
              <w:right w:val="single" w:color="E2E2E2" w:sz="1"/>
            </w:tcBorders>
            <w:shd w:fill="F8F7F4" w:val="clear"/>
            <w:tcMar>
              <w:top w:type="dxa" w:w="80"/>
              <w:left w:type="dxa" w:w="120"/>
              <w:bottom w:type="dxa" w:w="80"/>
              <w:right w:type="dxa" w:w="120"/>
            </w:tcMar>
          </w:tcPr>
          <w:p>
            <w:pPr>
              <w:jc w:val="center"/>
            </w:pPr>
            <w:r>
              <w:rPr>
                <w:rFonts w:ascii="Inter" w:cs="Inter" w:eastAsia="Inter" w:hAnsi="Inter"/>
                <w:b/>
                <w:bCs/>
                <w:color w:val="6b6b6b"/>
                <w:sz w:val="24"/>
                <w:szCs w:val="24"/>
              </w:rPr>
              <w:t xml:space="preserve">60</w:t>
            </w:r>
          </w:p>
        </w:tc>
      </w:tr>
    </w:tbl>
    <w:p>
      <w:pPr>
        <w:spacing w:before="0" w:after="200"/>
      </w:pPr>
      <w:r>
        <w:t xml:space="preserve"/>
      </w:r>
    </w:p>
    <w:p>
      <w:pPr>
        <w:pStyle w:val="Heading2"/>
        <w:spacing w:before="360" w:after="120"/>
      </w:pPr>
      <w:r>
        <w:rPr>
          <w:rFonts w:ascii="Inter" w:cs="Inter" w:eastAsia="Inter" w:hAnsi="Inter"/>
          <w:b/>
          <w:bCs/>
          <w:color w:val="0D0D0D"/>
          <w:sz w:val="32"/>
          <w:szCs w:val="32"/>
        </w:rPr>
        <w:t xml:space="preserve">Moat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120"/>
        <w:gridCol w:w="4440"/>
      </w:tblGrid>
      <w:tr>
        <w:trPr>
          <w:tblHeader/>
        </w:trPr>
        <w:tc>
          <w:tcPr>
            <w:tcW w:type="dxa" w:w="180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Score</w:t>
            </w:r>
          </w:p>
        </w:tc>
        <w:tc>
          <w:tcPr>
            <w:tcW w:type="dxa" w:w="312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Level</w:t>
            </w:r>
          </w:p>
        </w:tc>
        <w:tc>
          <w:tcPr>
            <w:tcW w:type="dxa" w:w="4440"/>
            <w:tcBorders>
              <w:top w:val="single" w:color="E2E2E2" w:sz="1"/>
              <w:left w:val="single" w:color="E2E2E2" w:sz="1"/>
              <w:bottom w:val="single" w:color="E2E2E2" w:sz="1"/>
              <w:right w:val="single" w:color="E2E2E2" w:sz="1"/>
            </w:tcBorders>
            <w:shd w:fill="0D0D0D" w:val="clear"/>
            <w:tcMar>
              <w:top w:type="dxa" w:w="80"/>
              <w:left w:type="dxa" w:w="120"/>
              <w:bottom w:type="dxa" w:w="80"/>
              <w:right w:type="dxa" w:w="120"/>
            </w:tcMar>
          </w:tcPr>
          <w:p>
            <w:r>
              <w:rPr>
                <w:rFonts w:ascii="Inter" w:cs="Inter" w:eastAsia="Inter" w:hAnsi="Inter"/>
                <w:b/>
                <w:bCs/>
                <w:color w:val="FFFFFF"/>
                <w:sz w:val="22"/>
                <w:szCs w:val="22"/>
              </w:rPr>
              <w:t xml:space="preserve">What it means</w:t>
            </w:r>
          </w:p>
        </w:tc>
      </w:tr>
      <w:tr>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2D4EF5"/>
                <w:sz w:val="22"/>
                <w:szCs w:val="22"/>
              </w:rPr>
              <w:t xml:space="preserve">48–60</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0D0D0D"/>
                <w:sz w:val="22"/>
                <w:szCs w:val="22"/>
              </w:rPr>
              <w:t xml:space="preserve">Strong Moat</w:t>
            </w:r>
          </w:p>
        </w:tc>
        <w:tc>
          <w:tcPr>
            <w:tcW w:type="dxa" w:w="444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6b6b6b"/>
                <w:sz w:val="22"/>
                <w:szCs w:val="22"/>
              </w:rPr>
              <w:t xml:space="preserve">Competitors cannot replicate what you have built</w:t>
            </w:r>
          </w:p>
        </w:tc>
      </w:tr>
      <w:tr>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2D4EF5"/>
                <w:sz w:val="22"/>
                <w:szCs w:val="22"/>
              </w:rPr>
              <w:t xml:space="preserve">36–47</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0D0D0D"/>
                <w:sz w:val="22"/>
                <w:szCs w:val="22"/>
              </w:rPr>
              <w:t xml:space="preserve">Developing Moat</w:t>
            </w:r>
          </w:p>
        </w:tc>
        <w:tc>
          <w:tcPr>
            <w:tcW w:type="dxa" w:w="444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6b6b6b"/>
                <w:sz w:val="22"/>
                <w:szCs w:val="22"/>
              </w:rPr>
              <w:t xml:space="preserve">One or two moat types are strong. Others need investment.</w:t>
            </w:r>
          </w:p>
        </w:tc>
      </w:tr>
      <w:tr>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2D4EF5"/>
                <w:sz w:val="22"/>
                <w:szCs w:val="22"/>
              </w:rPr>
              <w:t xml:space="preserve">24–35</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0D0D0D"/>
                <w:sz w:val="22"/>
                <w:szCs w:val="22"/>
              </w:rPr>
              <w:t xml:space="preserve">Early Moat</w:t>
            </w:r>
          </w:p>
        </w:tc>
        <w:tc>
          <w:tcPr>
            <w:tcW w:type="dxa" w:w="444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6b6b6b"/>
                <w:sz w:val="22"/>
                <w:szCs w:val="22"/>
              </w:rPr>
              <w:t xml:space="preserve">Foundations are there. Consistency will build the moat.</w:t>
            </w:r>
          </w:p>
        </w:tc>
      </w:tr>
      <w:tr>
        <w:tc>
          <w:tcPr>
            <w:tcW w:type="dxa" w:w="180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2D4EF5"/>
                <w:sz w:val="22"/>
                <w:szCs w:val="22"/>
              </w:rPr>
              <w:t xml:space="preserve">0–23</w:t>
            </w:r>
          </w:p>
        </w:tc>
        <w:tc>
          <w:tcPr>
            <w:tcW w:type="dxa" w:w="312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b/>
                <w:bCs/>
                <w:color w:val="0D0D0D"/>
                <w:sz w:val="22"/>
                <w:szCs w:val="22"/>
              </w:rPr>
              <w:t xml:space="preserve">No Moat Yet</w:t>
            </w:r>
          </w:p>
        </w:tc>
        <w:tc>
          <w:tcPr>
            <w:tcW w:type="dxa" w:w="4440"/>
            <w:tcBorders>
              <w:top w:val="single" w:color="E2E2E2" w:sz="1"/>
              <w:left w:val="single" w:color="E2E2E2" w:sz="1"/>
              <w:bottom w:val="single" w:color="E2E2E2" w:sz="1"/>
              <w:right w:val="single" w:color="E2E2E2" w:sz="1"/>
            </w:tcBorders>
            <w:tcMar>
              <w:top w:type="dxa" w:w="80"/>
              <w:left w:type="dxa" w:w="120"/>
              <w:bottom w:type="dxa" w:w="80"/>
              <w:right w:type="dxa" w:w="120"/>
            </w:tcMar>
          </w:tcPr>
          <w:p>
            <w:r>
              <w:rPr>
                <w:rFonts w:ascii="Inter" w:cs="Inter" w:eastAsia="Inter" w:hAnsi="Inter"/>
                <w:color w:val="6b6b6b"/>
                <w:sz w:val="22"/>
                <w:szCs w:val="22"/>
              </w:rPr>
              <w:t xml:space="preserve">Content exists but creates no structural advantage.</w:t>
            </w:r>
          </w:p>
        </w:tc>
      </w:tr>
    </w:tbl>
    <w:p>
      <w:pPr>
        <w:spacing w:before="0" w:after="200"/>
      </w:pPr>
      <w:r>
        <w:t xml:space="preserve"/>
      </w:r>
    </w:p>
    <w:p>
      <w:pPr>
        <w:pStyle w:val="Heading2"/>
        <w:spacing w:before="360" w:after="120"/>
      </w:pPr>
      <w:r>
        <w:rPr>
          <w:rFonts w:ascii="Inter" w:cs="Inter" w:eastAsia="Inter" w:hAnsi="Inter"/>
          <w:b/>
          <w:bCs/>
          <w:color w:val="0D0D0D"/>
          <w:sz w:val="32"/>
          <w:szCs w:val="32"/>
        </w:rPr>
        <w:t xml:space="preserve">Strategic Priority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2E2" w:sz="1"/>
              <w:left w:val="single" w:color="E2E2E2" w:sz="1"/>
              <w:bottom w:val="single" w:color="E2E2E2" w:sz="1"/>
              <w:right w:val="single" w:color="E2E2E2" w:sz="1"/>
            </w:tcBorders>
            <w:shd w:fill="F8F7F4" w:val="clear"/>
            <w:tcMar>
              <w:top w:type="dxa" w:w="120"/>
              <w:left w:type="dxa" w:w="200"/>
              <w:bottom w:type="dxa" w:w="120"/>
              <w:right w:type="dxa" w:w="200"/>
            </w:tcMar>
          </w:tcPr>
          <w:p>
            <w:r>
              <w:rPr>
                <w:rFonts w:ascii="Inter" w:cs="Inter" w:eastAsia="Inter" w:hAnsi="Inter"/>
                <w:color w:val="6b6b6b"/>
                <w:sz w:val="22"/>
                <w:szCs w:val="22"/>
              </w:rPr>
              <w:t xml:space="preserve">Your weakest moat type is where to focus first. Write your 90-day action here:</w:t>
            </w:r>
          </w:p>
        </w:tc>
      </w:tr>
    </w:tbl>
    <w:p>
      <w:pPr>
        <w:spacing w:before="0" w:after="200"/>
      </w:pPr>
      <w:r>
        <w:t xml:space="preserve"/>
      </w:r>
    </w:p>
    <w:p>
      <w:pPr>
        <w:spacing w:before="0" w:after="160"/>
      </w:pPr>
      <w:r>
        <w:rPr>
          <w:rFonts w:ascii="Inter" w:cs="Inter" w:eastAsia="Inter" w:hAnsi="Inter"/>
          <w:color w:val="6b6b6b"/>
          <w:sz w:val="24"/>
          <w:szCs w:val="24"/>
        </w:rPr>
        <w:t xml:space="preserve">soorajdivakaran.com · Content Strategy Consulting</w:t>
      </w: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2E2" w:sz="4"/>
      </w:pBdr>
      <w:tabs>
        <w:tab w:val="right" w:pos="9360"/>
      </w:tabs>
      <w:spacing w:before="120"/>
    </w:pPr>
    <w:r>
      <w:rPr>
        <w:rFonts w:ascii="Inter" w:cs="Inter" w:eastAsia="Inter" w:hAnsi="Inter"/>
        <w:color w:val="6b6b6b"/>
        <w:sz w:val="18"/>
        <w:szCs w:val="18"/>
      </w:rPr>
      <w:t xml:space="preserve">Content Moat Framework  ·  soorajdivakaran.com</w:t>
    </w:r>
    <w:r>
      <w:t xml:space="preserve">	</w:t>
    </w:r>
    <w:r>
      <w:rPr>
        <w:rFonts w:ascii="Inter" w:cs="Inter" w:eastAsia="Inter" w:hAnsi="Inter"/>
        <w:color w:val="6b6b6b"/>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160"/>
      <w:outlineLvl w:val="0"/>
    </w:pPr>
    <w:rPr>
      <w:rFonts w:ascii="Inter" w:cs="Inter" w:eastAsia="Inter" w:hAnsi="Inter"/>
      <w:b/>
      <w:bCs/>
      <w:color w:val="0D0D0D"/>
      <w:sz w:val="52"/>
      <w:szCs w:val="52"/>
    </w:rPr>
  </w:style>
  <w:style w:type="paragraph" w:styleId="Heading2">
    <w:name w:val="Heading 2"/>
    <w:basedOn w:val="Normal"/>
    <w:next w:val="Normal"/>
    <w:qFormat/>
    <w:pPr>
      <w:spacing w:before="360" w:after="120"/>
      <w:outlineLvl w:val="1"/>
    </w:pPr>
    <w:rPr>
      <w:rFonts w:ascii="Inter" w:cs="Inter" w:eastAsia="Inter" w:hAnsi="Inter"/>
      <w:b/>
      <w:bCs/>
      <w:color w:val="0D0D0D"/>
      <w:sz w:val="32"/>
      <w:szCs w:val="32"/>
    </w:rPr>
  </w:style>
  <w:style w:type="paragraph" w:styleId="Heading3">
    <w:name w:val="Heading 3"/>
    <w:basedOn w:val="Normal"/>
    <w:next w:val="Normal"/>
    <w:qFormat/>
    <w:pPr>
      <w:spacing w:before="240" w:after="80"/>
      <w:outlineLvl w:val="2"/>
    </w:pPr>
    <w:rPr>
      <w:rFonts w:ascii="Inter" w:cs="Inter" w:eastAsia="Inter" w:hAnsi="Inter"/>
      <w:b/>
      <w:bCs/>
      <w:color w:val="0D0D0D"/>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2026-03-12T05:45:34.379Z</dcterms:created>
  <dcterms:modified xsi:type="dcterms:W3CDTF">2026-03-12T05:45:34.379Z</dcterms:modified>
</cp:coreProperties>
</file>

<file path=docProps/custom.xml><?xml version="1.0" encoding="utf-8"?>
<Properties xmlns="http://schemas.openxmlformats.org/officeDocument/2006/custom-properties" xmlns:vt="http://schemas.openxmlformats.org/officeDocument/2006/docPropsVTypes"/>
</file>