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120"/>
      </w:pPr>
      <w:r>
        <w:rPr>
          <w:rFonts w:ascii="Inter" w:cs="Inter" w:eastAsia="Inter" w:hAnsi="Inter"/>
          <w:b/>
          <w:bCs/>
          <w:caps/>
          <w:color w:val="2D4EF5"/>
          <w:spacing w:val="40"/>
          <w:sz w:val="18"/>
          <w:szCs w:val="18"/>
        </w:rPr>
        <w:t xml:space="preserve">Playbook · Brand Strategy</w:t>
      </w:r>
    </w:p>
    <w:p>
      <w:pPr>
        <w:pStyle w:val="Heading1"/>
        <w:spacing w:before="0" w:after="160"/>
      </w:pPr>
      <w:r>
        <w:rPr>
          <w:rFonts w:ascii="Inter" w:cs="Inter" w:eastAsia="Inter" w:hAnsi="Inter"/>
          <w:b/>
          <w:bCs/>
          <w:color w:val="0D0D0D"/>
          <w:sz w:val="52"/>
          <w:szCs w:val="52"/>
        </w:rPr>
        <w:t xml:space="preserve">Building a Content-Led Brand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2"/>
                <w:szCs w:val="22"/>
              </w:rPr>
              <w:t xml:space="preserve">Company</w:t>
            </w:r>
          </w:p>
        </w:tc>
        <w:tc>
          <w:tcPr>
            <w:tcW w:type="dxa" w:w="69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2"/>
                <w:szCs w:val="22"/>
              </w:rPr>
              <w:t xml:space="preserve">Lead</w:t>
            </w:r>
          </w:p>
        </w:tc>
        <w:tc>
          <w:tcPr>
            <w:tcW w:type="dxa" w:w="69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2"/>
                <w:szCs w:val="22"/>
              </w:rPr>
              <w:t xml:space="preserve">Started</w:t>
            </w:r>
          </w:p>
        </w:tc>
        <w:tc>
          <w:tcPr>
            <w:tcW w:type="dxa" w:w="69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2"/>
                <w:szCs w:val="22"/>
              </w:rPr>
              <w:t xml:space="preserve">Target completion</w:t>
            </w:r>
          </w:p>
        </w:tc>
        <w:tc>
          <w:tcPr>
            <w:tcW w:type="dxa" w:w="69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/>
            </w:r>
          </w:p>
        </w:tc>
      </w:tr>
    </w:tbl>
    <w:p>
      <w:pPr>
        <w:spacing w:before="0" w:after="200"/>
      </w:pPr>
      <w:r>
        <w:t xml:space="preserve"/>
      </w:r>
    </w:p>
    <w:p>
      <w:pPr>
        <w:spacing w:before="0" w:after="160"/>
      </w:pPr>
      <w:r>
        <w:rPr>
          <w:rFonts w:ascii="Inter" w:cs="Inter" w:eastAsia="Inter" w:hAnsi="Inter"/>
          <w:color w:val="6b6b6b"/>
          <w:sz w:val="24"/>
          <w:szCs w:val="24"/>
        </w:rPr>
        <w:t xml:space="preserve">Six steps. 24 specific actions. This playbook is for founders and CMOs moving beyond content marketing into a content-led business model. Work through the steps in sequence — each builds on the last.</w:t>
      </w:r>
    </w:p>
    <w:p>
      <w:pPr>
        <w:pBdr>
          <w:bottom w:val="single" w:color="E2E2E2" w:sz="4"/>
        </w:pBdr>
        <w:spacing w:before="240" w:after="240"/>
      </w:pPr>
      <w:r>
        <w:t xml:space="preserve"/>
      </w:r>
    </w:p>
    <w:p>
      <w:pPr>
        <w:pStyle w:val="Heading2"/>
        <w:spacing w:before="360" w:after="120"/>
      </w:pPr>
      <w:r>
        <w:rPr>
          <w:rFonts w:ascii="Inter" w:cs="Inter" w:eastAsia="Inter" w:hAnsi="Inter"/>
          <w:b/>
          <w:bCs/>
          <w:color w:val="0D0D0D"/>
          <w:sz w:val="32"/>
          <w:szCs w:val="32"/>
        </w:rPr>
        <w:t xml:space="preserve">How to Use This Playbook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Work through each step before moving to the next. The sequence matters.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Use the notes field under each step to document decisions and evidence.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Mark each action complete only when you have evidence — not just a plan.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Revisit the full playbook every 90 days and update your progress.</w:t>
      </w:r>
    </w:p>
    <w:p>
      <w:pPr>
        <w:spacing w:before="0" w:after="200"/>
      </w:pPr>
      <w:r>
        <w:t xml:space="preserve"/>
      </w:r>
    </w:p>
    <w:p>
      <w:pPr>
        <w:pStyle w:val="Heading2"/>
        <w:spacing w:before="360" w:after="120"/>
      </w:pPr>
      <w:r>
        <w:rPr>
          <w:rFonts w:ascii="Inter" w:cs="Inter" w:eastAsia="Inter" w:hAnsi="Inter"/>
          <w:b/>
          <w:bCs/>
          <w:color w:val="0D0D0D"/>
          <w:sz w:val="32"/>
          <w:szCs w:val="32"/>
        </w:rPr>
        <w:t xml:space="preserve">Step 1 — Define Your Position</w:t>
      </w:r>
    </w:p>
    <w:p>
      <w:pPr>
        <w:pBdr>
          <w:left w:val="single" w:color="2D4EF5" w:sz="12" w:space="10"/>
        </w:pBdr>
        <w:spacing w:before="80" w:after="160"/>
        <w:ind w:left="360"/>
      </w:pPr>
      <w:r>
        <w:rPr>
          <w:rFonts w:ascii="Inter" w:cs="Inter" w:eastAsia="Inter" w:hAnsi="Inter"/>
          <w:color w:val="6b6b6b"/>
          <w:sz w:val="22"/>
          <w:szCs w:val="22"/>
        </w:rPr>
        <w:t xml:space="preserve">A content-led brand starts with a documented point of view — not a content plan. Most companies skip this and build on sand.</w:t>
      </w:r>
    </w:p>
    <w:p>
      <w:pPr>
        <w:pStyle w:val="ListParagraph"/>
        <w:numPr>
          <w:ilvl w:val="0"/>
          <w:numId w:val="3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Write a single-sentence positioning statement that is distinct and arguable</w:t>
      </w:r>
    </w:p>
    <w:p>
      <w:pPr>
        <w:pStyle w:val="ListParagraph"/>
        <w:numPr>
          <w:ilvl w:val="0"/>
          <w:numId w:val="3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Identify the one category you want to own in your market</w:t>
      </w:r>
    </w:p>
    <w:p>
      <w:pPr>
        <w:pStyle w:val="ListParagraph"/>
        <w:numPr>
          <w:ilvl w:val="0"/>
          <w:numId w:val="3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Document the assumption your industry holds that you believe is wrong</w:t>
      </w:r>
    </w:p>
    <w:p>
      <w:pPr>
        <w:pStyle w:val="ListParagraph"/>
        <w:numPr>
          <w:ilvl w:val="0"/>
          <w:numId w:val="3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Test your positioning with 5 ideal customers — ask if it resonates and why</w:t>
      </w:r>
    </w:p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Step 1 notes:</w:t>
            </w:r>
          </w:p>
        </w:tc>
      </w:tr>
    </w:tbl>
    <w:p>
      <w:pPr>
        <w:spacing w:before="0" w:after="80"/>
      </w:pPr>
      <w:r>
        <w:t xml:space="preserve"/>
      </w:r>
    </w:p>
    <w:p>
      <w:pPr>
        <w:pStyle w:val="Heading2"/>
        <w:spacing w:before="360" w:after="120"/>
      </w:pPr>
      <w:r>
        <w:rPr>
          <w:rFonts w:ascii="Inter" w:cs="Inter" w:eastAsia="Inter" w:hAnsi="Inter"/>
          <w:b/>
          <w:bCs/>
          <w:color w:val="0D0D0D"/>
          <w:sz w:val="32"/>
          <w:szCs w:val="32"/>
        </w:rPr>
        <w:t xml:space="preserve">Step 2 — Build Your Audience Infrastructure</w:t>
      </w:r>
    </w:p>
    <w:p>
      <w:pPr>
        <w:pBdr>
          <w:left w:val="single" w:color="2D4EF5" w:sz="12" w:space="10"/>
        </w:pBdr>
        <w:spacing w:before="80" w:after="160"/>
        <w:ind w:left="360"/>
      </w:pPr>
      <w:r>
        <w:rPr>
          <w:rFonts w:ascii="Inter" w:cs="Inter" w:eastAsia="Inter" w:hAnsi="Inter"/>
          <w:color w:val="6b6b6b"/>
          <w:sz w:val="22"/>
          <w:szCs w:val="22"/>
        </w:rPr>
        <w:t xml:space="preserve">Owned audience is the moat. Before producing more content, build the infrastructure that means you own the relationship.</w:t>
      </w:r>
    </w:p>
    <w:p>
      <w:pPr>
        <w:pStyle w:val="ListParagraph"/>
        <w:numPr>
          <w:ilvl w:val="0"/>
          <w:numId w:val="4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Set up or audit your email list — this is your primary owned channel</w:t>
      </w:r>
    </w:p>
    <w:p>
      <w:pPr>
        <w:pStyle w:val="ListParagraph"/>
        <w:numPr>
          <w:ilvl w:val="0"/>
          <w:numId w:val="4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Define your subscriber promise: what do they get and how often</w:t>
      </w:r>
    </w:p>
    <w:p>
      <w:pPr>
        <w:pStyle w:val="ListParagraph"/>
        <w:numPr>
          <w:ilvl w:val="0"/>
          <w:numId w:val="4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Create a lead magnet that is specific enough to attract only your ICP</w:t>
      </w:r>
    </w:p>
    <w:p>
      <w:pPr>
        <w:pStyle w:val="ListParagraph"/>
        <w:numPr>
          <w:ilvl w:val="0"/>
          <w:numId w:val="4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Set up a welcome sequence that reinforces your positioning from day one</w:t>
      </w:r>
    </w:p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Step 2 notes:</w:t>
            </w:r>
          </w:p>
        </w:tc>
      </w:tr>
    </w:tbl>
    <w:p>
      <w:pPr>
        <w:spacing w:before="0" w:after="80"/>
      </w:pPr>
      <w:r>
        <w:t xml:space="preserve"/>
      </w:r>
    </w:p>
    <w:p>
      <w:pPr>
        <w:pStyle w:val="Heading2"/>
        <w:spacing w:before="360" w:after="120"/>
      </w:pPr>
      <w:r>
        <w:rPr>
          <w:rFonts w:ascii="Inter" w:cs="Inter" w:eastAsia="Inter" w:hAnsi="Inter"/>
          <w:b/>
          <w:bCs/>
          <w:color w:val="0D0D0D"/>
          <w:sz w:val="32"/>
          <w:szCs w:val="32"/>
        </w:rPr>
        <w:t xml:space="preserve">Step 3 — Design Your Content Architecture</w:t>
      </w:r>
    </w:p>
    <w:p>
      <w:pPr>
        <w:pBdr>
          <w:left w:val="single" w:color="2D4EF5" w:sz="12" w:space="10"/>
        </w:pBdr>
        <w:spacing w:before="80" w:after="160"/>
        <w:ind w:left="360"/>
      </w:pPr>
      <w:r>
        <w:rPr>
          <w:rFonts w:ascii="Inter" w:cs="Inter" w:eastAsia="Inter" w:hAnsi="Inter"/>
          <w:color w:val="6b6b6b"/>
          <w:sz w:val="22"/>
          <w:szCs w:val="22"/>
        </w:rPr>
        <w:t xml:space="preserve">Three to five content pillars. Each one maps to a business goal and an audience need. Without this, content becomes random.</w:t>
      </w:r>
    </w:p>
    <w:p>
      <w:pPr>
        <w:pStyle w:val="ListParagraph"/>
        <w:numPr>
          <w:ilvl w:val="0"/>
          <w:numId w:val="5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Document your 3–5 content pillars with a one-sentence definition for each</w:t>
      </w:r>
    </w:p>
    <w:p>
      <w:pPr>
        <w:pStyle w:val="ListParagraph"/>
        <w:numPr>
          <w:ilvl w:val="0"/>
          <w:numId w:val="5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Map each pillar to a specific business goal (SEO, authority, lead gen, retention)</w:t>
      </w:r>
    </w:p>
    <w:p>
      <w:pPr>
        <w:pStyle w:val="ListParagraph"/>
        <w:numPr>
          <w:ilvl w:val="0"/>
          <w:numId w:val="5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Identify the formats that work best for each pillar and your audience</w:t>
      </w:r>
    </w:p>
    <w:p>
      <w:pPr>
        <w:pStyle w:val="ListParagraph"/>
        <w:numPr>
          <w:ilvl w:val="0"/>
          <w:numId w:val="5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Create a content hierarchy: cornerstone assets → supporting content → distribution</w:t>
      </w:r>
    </w:p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Step 3 notes:</w:t>
            </w:r>
          </w:p>
        </w:tc>
      </w:tr>
    </w:tbl>
    <w:p>
      <w:pPr>
        <w:spacing w:before="0" w:after="80"/>
      </w:pPr>
      <w:r>
        <w:t xml:space="preserve"/>
      </w:r>
    </w:p>
    <w:p>
      <w:pPr>
        <w:pStyle w:val="Heading2"/>
        <w:spacing w:before="360" w:after="120"/>
      </w:pPr>
      <w:r>
        <w:rPr>
          <w:rFonts w:ascii="Inter" w:cs="Inter" w:eastAsia="Inter" w:hAnsi="Inter"/>
          <w:b/>
          <w:bCs/>
          <w:color w:val="0D0D0D"/>
          <w:sz w:val="32"/>
          <w:szCs w:val="32"/>
        </w:rPr>
        <w:t xml:space="preserve">Step 4 — Build Your Production System</w:t>
      </w:r>
    </w:p>
    <w:p>
      <w:pPr>
        <w:pBdr>
          <w:left w:val="single" w:color="2D4EF5" w:sz="12" w:space="10"/>
        </w:pBdr>
        <w:spacing w:before="80" w:after="160"/>
        <w:ind w:left="360"/>
      </w:pPr>
      <w:r>
        <w:rPr>
          <w:rFonts w:ascii="Inter" w:cs="Inter" w:eastAsia="Inter" w:hAnsi="Inter"/>
          <w:color w:val="6b6b6b"/>
          <w:sz w:val="22"/>
          <w:szCs w:val="22"/>
        </w:rPr>
        <w:t xml:space="preserve">Consistency compounds. A system is what makes consistency possible without burning out.</w:t>
      </w:r>
    </w:p>
    <w:p>
      <w:pPr>
        <w:pStyle w:val="ListParagraph"/>
        <w:numPr>
          <w:ilvl w:val="0"/>
          <w:numId w:val="6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Create a content brief template and make it mandatory for every piece</w:t>
      </w:r>
    </w:p>
    <w:p>
      <w:pPr>
        <w:pStyle w:val="ListParagraph"/>
        <w:numPr>
          <w:ilvl w:val="0"/>
          <w:numId w:val="6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Define your production workflow: brief → draft → review → publish → distribute</w:t>
      </w:r>
    </w:p>
    <w:p>
      <w:pPr>
        <w:pStyle w:val="ListParagraph"/>
        <w:numPr>
          <w:ilvl w:val="0"/>
          <w:numId w:val="6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Set a realistic publishing cadence you can sustain for 12 months</w:t>
      </w:r>
    </w:p>
    <w:p>
      <w:pPr>
        <w:pStyle w:val="ListParagraph"/>
        <w:numPr>
          <w:ilvl w:val="0"/>
          <w:numId w:val="6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Identify your content team: who writes, who edits, who distributes</w:t>
      </w:r>
    </w:p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Step 4 notes:</w:t>
            </w:r>
          </w:p>
        </w:tc>
      </w:tr>
    </w:tbl>
    <w:p>
      <w:pPr>
        <w:spacing w:before="0" w:after="80"/>
      </w:pPr>
      <w:r>
        <w:t xml:space="preserve"/>
      </w:r>
    </w:p>
    <w:p>
      <w:pPr>
        <w:pStyle w:val="Heading2"/>
        <w:spacing w:before="360" w:after="120"/>
      </w:pPr>
      <w:r>
        <w:rPr>
          <w:rFonts w:ascii="Inter" w:cs="Inter" w:eastAsia="Inter" w:hAnsi="Inter"/>
          <w:b/>
          <w:bCs/>
          <w:color w:val="0D0D0D"/>
          <w:sz w:val="32"/>
          <w:szCs w:val="32"/>
        </w:rPr>
        <w:t xml:space="preserve">Step 5 — Activate Your Distribution System</w:t>
      </w:r>
    </w:p>
    <w:p>
      <w:pPr>
        <w:pBdr>
          <w:left w:val="single" w:color="2D4EF5" w:sz="12" w:space="10"/>
        </w:pBdr>
        <w:spacing w:before="80" w:after="160"/>
        <w:ind w:left="360"/>
      </w:pPr>
      <w:r>
        <w:rPr>
          <w:rFonts w:ascii="Inter" w:cs="Inter" w:eastAsia="Inter" w:hAnsi="Inter"/>
          <w:color w:val="6b6b6b"/>
          <w:sz w:val="22"/>
          <w:szCs w:val="22"/>
        </w:rPr>
        <w:t xml:space="preserve">Creating content without a distribution system is writing in a diary. Distribution is not promotion — it is the architecture of how your ideas travel.</w:t>
      </w:r>
    </w:p>
    <w:p>
      <w:pPr>
        <w:pStyle w:val="ListParagraph"/>
        <w:numPr>
          <w:ilvl w:val="0"/>
          <w:numId w:val="7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Map every piece of content to at least three distribution channels</w:t>
      </w:r>
    </w:p>
    <w:p>
      <w:pPr>
        <w:pStyle w:val="ListParagraph"/>
        <w:numPr>
          <w:ilvl w:val="0"/>
          <w:numId w:val="7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Build a repurposing system: one long-form piece becomes 5+ assets</w:t>
      </w:r>
    </w:p>
    <w:p>
      <w:pPr>
        <w:pStyle w:val="ListParagraph"/>
        <w:numPr>
          <w:ilvl w:val="0"/>
          <w:numId w:val="7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Identify three partnership or syndication opportunities in your category</w:t>
      </w:r>
    </w:p>
    <w:p>
      <w:pPr>
        <w:pStyle w:val="ListParagraph"/>
        <w:numPr>
          <w:ilvl w:val="0"/>
          <w:numId w:val="7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Set up a weekly or monthly newsletter as your primary distribution vehicle</w:t>
      </w:r>
    </w:p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Step 5 notes:</w:t>
            </w:r>
          </w:p>
        </w:tc>
      </w:tr>
    </w:tbl>
    <w:p>
      <w:pPr>
        <w:spacing w:before="0" w:after="80"/>
      </w:pPr>
      <w:r>
        <w:t xml:space="preserve"/>
      </w:r>
    </w:p>
    <w:p>
      <w:pPr>
        <w:pStyle w:val="Heading2"/>
        <w:spacing w:before="360" w:after="120"/>
      </w:pPr>
      <w:r>
        <w:rPr>
          <w:rFonts w:ascii="Inter" w:cs="Inter" w:eastAsia="Inter" w:hAnsi="Inter"/>
          <w:b/>
          <w:bCs/>
          <w:color w:val="0D0D0D"/>
          <w:sz w:val="32"/>
          <w:szCs w:val="32"/>
        </w:rPr>
        <w:t xml:space="preserve">Step 6 — Measure What Compounds</w:t>
      </w:r>
    </w:p>
    <w:p>
      <w:pPr>
        <w:pBdr>
          <w:left w:val="single" w:color="2D4EF5" w:sz="12" w:space="10"/>
        </w:pBdr>
        <w:spacing w:before="80" w:after="160"/>
        <w:ind w:left="360"/>
      </w:pPr>
      <w:r>
        <w:rPr>
          <w:rFonts w:ascii="Inter" w:cs="Inter" w:eastAsia="Inter" w:hAnsi="Inter"/>
          <w:color w:val="6b6b6b"/>
          <w:sz w:val="22"/>
          <w:szCs w:val="22"/>
        </w:rPr>
        <w:t xml:space="preserve">Vanity metrics (pageviews, impressions) measure volume. Content-led brands measure compounding: subscriber growth, inbound pipeline, brand mentions, sales cycle length.</w:t>
      </w:r>
    </w:p>
    <w:p>
      <w:pPr>
        <w:pStyle w:val="ListParagraph"/>
        <w:numPr>
          <w:ilvl w:val="0"/>
          <w:numId w:val="8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Define your primary content metric — the one number that shows compounding</w:t>
      </w:r>
    </w:p>
    <w:p>
      <w:pPr>
        <w:pStyle w:val="ListParagraph"/>
        <w:numPr>
          <w:ilvl w:val="0"/>
          <w:numId w:val="8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Set up attribution tracking from content to pipeline</w:t>
      </w:r>
    </w:p>
    <w:p>
      <w:pPr>
        <w:pStyle w:val="ListParagraph"/>
        <w:numPr>
          <w:ilvl w:val="0"/>
          <w:numId w:val="8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Create a monthly content review: what compounded, what did not, why</w:t>
      </w:r>
    </w:p>
    <w:p>
      <w:pPr>
        <w:pStyle w:val="ListParagraph"/>
        <w:numPr>
          <w:ilvl w:val="0"/>
          <w:numId w:val="8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Set a 12-month compounding target and review it quarterly</w:t>
      </w:r>
    </w:p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Step 6 notes:</w:t>
            </w:r>
          </w:p>
        </w:tc>
      </w:tr>
    </w:tbl>
    <w:p>
      <w:pPr>
        <w:spacing w:before="0" w:after="80"/>
      </w:pPr>
      <w:r>
        <w:t xml:space="preserve"/>
      </w:r>
    </w:p>
    <w:p>
      <w:pPr>
        <w:pBdr>
          <w:bottom w:val="single" w:color="E2E2E2" w:sz="4"/>
        </w:pBdr>
        <w:spacing w:before="240" w:after="240"/>
      </w:pPr>
      <w:r>
        <w:t xml:space="preserve"/>
      </w:r>
    </w:p>
    <w:p>
      <w:pPr>
        <w:pStyle w:val="Heading2"/>
        <w:spacing w:before="360" w:after="120"/>
      </w:pPr>
      <w:r>
        <w:rPr>
          <w:rFonts w:ascii="Inter" w:cs="Inter" w:eastAsia="Inter" w:hAnsi="Inter"/>
          <w:b/>
          <w:bCs/>
          <w:color w:val="0D0D0D"/>
          <w:sz w:val="32"/>
          <w:szCs w:val="32"/>
        </w:rPr>
        <w:t xml:space="preserve">Progress Tracker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2520"/>
        <w:gridCol w:w="1800"/>
        <w:gridCol w:w="1920"/>
      </w:tblGrid>
      <w:tr>
        <w:trPr>
          <w:tblHeader/>
        </w:trPr>
        <w:tc>
          <w:tcPr>
            <w:tcW w:type="dxa" w:w="31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Step</w:t>
            </w:r>
          </w:p>
        </w:tc>
        <w:tc>
          <w:tcPr>
            <w:tcW w:type="dxa" w:w="25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Status</w:t>
            </w:r>
          </w:p>
        </w:tc>
        <w:tc>
          <w:tcPr>
            <w:tcW w:type="dxa" w:w="18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Target date</w:t>
            </w:r>
          </w:p>
        </w:tc>
        <w:tc>
          <w:tcPr>
            <w:tcW w:type="dxa" w:w="19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Completed</w:t>
            </w:r>
          </w:p>
        </w:tc>
      </w:tr>
      <w:tr>
        <w:tc>
          <w:tcPr>
            <w:tcW w:type="dxa" w:w="31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1 — Define Your Position</w:t>
            </w:r>
          </w:p>
        </w:tc>
        <w:tc>
          <w:tcPr>
            <w:tcW w:type="dxa" w:w="25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sz w:val="22"/>
                <w:szCs w:val="22"/>
              </w:rPr>
              <w:t xml:space="preserve"/>
            </w:r>
          </w:p>
        </w:tc>
        <w:tc>
          <w:tcPr>
            <w:tcW w:type="dxa" w:w="19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sz w:val="22"/>
                <w:szCs w:val="22"/>
              </w:rPr>
              <w:t xml:space="preserve">☐</w:t>
            </w:r>
          </w:p>
        </w:tc>
      </w:tr>
      <w:tr>
        <w:tc>
          <w:tcPr>
            <w:tcW w:type="dxa" w:w="31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2 — Audience Infrastructure</w:t>
            </w:r>
          </w:p>
        </w:tc>
        <w:tc>
          <w:tcPr>
            <w:tcW w:type="dxa" w:w="25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sz w:val="22"/>
                <w:szCs w:val="22"/>
              </w:rPr>
              <w:t xml:space="preserve"/>
            </w:r>
          </w:p>
        </w:tc>
        <w:tc>
          <w:tcPr>
            <w:tcW w:type="dxa" w:w="19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sz w:val="22"/>
                <w:szCs w:val="22"/>
              </w:rPr>
              <w:t xml:space="preserve">☐</w:t>
            </w:r>
          </w:p>
        </w:tc>
      </w:tr>
      <w:tr>
        <w:tc>
          <w:tcPr>
            <w:tcW w:type="dxa" w:w="31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3 — Content Architecture</w:t>
            </w:r>
          </w:p>
        </w:tc>
        <w:tc>
          <w:tcPr>
            <w:tcW w:type="dxa" w:w="25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sz w:val="22"/>
                <w:szCs w:val="22"/>
              </w:rPr>
              <w:t xml:space="preserve"/>
            </w:r>
          </w:p>
        </w:tc>
        <w:tc>
          <w:tcPr>
            <w:tcW w:type="dxa" w:w="19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sz w:val="22"/>
                <w:szCs w:val="22"/>
              </w:rPr>
              <w:t xml:space="preserve">☐</w:t>
            </w:r>
          </w:p>
        </w:tc>
      </w:tr>
      <w:tr>
        <w:tc>
          <w:tcPr>
            <w:tcW w:type="dxa" w:w="31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4 — Production System</w:t>
            </w:r>
          </w:p>
        </w:tc>
        <w:tc>
          <w:tcPr>
            <w:tcW w:type="dxa" w:w="25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sz w:val="22"/>
                <w:szCs w:val="22"/>
              </w:rPr>
              <w:t xml:space="preserve"/>
            </w:r>
          </w:p>
        </w:tc>
        <w:tc>
          <w:tcPr>
            <w:tcW w:type="dxa" w:w="19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sz w:val="22"/>
                <w:szCs w:val="22"/>
              </w:rPr>
              <w:t xml:space="preserve">☐</w:t>
            </w:r>
          </w:p>
        </w:tc>
      </w:tr>
      <w:tr>
        <w:tc>
          <w:tcPr>
            <w:tcW w:type="dxa" w:w="31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5 — Distribution System</w:t>
            </w:r>
          </w:p>
        </w:tc>
        <w:tc>
          <w:tcPr>
            <w:tcW w:type="dxa" w:w="25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sz w:val="22"/>
                <w:szCs w:val="22"/>
              </w:rPr>
              <w:t xml:space="preserve"/>
            </w:r>
          </w:p>
        </w:tc>
        <w:tc>
          <w:tcPr>
            <w:tcW w:type="dxa" w:w="19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sz w:val="22"/>
                <w:szCs w:val="22"/>
              </w:rPr>
              <w:t xml:space="preserve">☐</w:t>
            </w:r>
          </w:p>
        </w:tc>
      </w:tr>
      <w:tr>
        <w:tc>
          <w:tcPr>
            <w:tcW w:type="dxa" w:w="31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6 — Measure What Compounds</w:t>
            </w:r>
          </w:p>
        </w:tc>
        <w:tc>
          <w:tcPr>
            <w:tcW w:type="dxa" w:w="25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sz w:val="22"/>
                <w:szCs w:val="22"/>
              </w:rPr>
              <w:t xml:space="preserve"/>
            </w:r>
          </w:p>
        </w:tc>
        <w:tc>
          <w:tcPr>
            <w:tcW w:type="dxa" w:w="19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sz w:val="22"/>
                <w:szCs w:val="22"/>
              </w:rPr>
              <w:t xml:space="preserve">☐</w:t>
            </w:r>
          </w:p>
        </w:tc>
      </w:tr>
    </w:tbl>
    <w:p>
      <w:pPr>
        <w:spacing w:before="0" w:after="200"/>
      </w:pPr>
      <w:r>
        <w:t xml:space="preserve"/>
      </w:r>
    </w:p>
    <w:p>
      <w:pPr>
        <w:spacing w:before="0" w:after="160"/>
      </w:pPr>
      <w:r>
        <w:rPr>
          <w:rFonts w:ascii="Inter" w:cs="Inter" w:eastAsia="Inter" w:hAnsi="Inter"/>
          <w:color w:val="6b6b6b"/>
          <w:sz w:val="24"/>
          <w:szCs w:val="24"/>
        </w:rPr>
        <w:t xml:space="preserve">soorajdivakaran.com · Content Strategy Consulting</w:t>
      </w:r>
    </w:p>
    <w:sectPr>
      <w:footerReference w:type="default" r:id="rId6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2E2" w:sz="4"/>
      </w:pBdr>
      <w:tabs>
        <w:tab w:val="right" w:pos="9360"/>
      </w:tabs>
      <w:spacing w:before="120"/>
    </w:pPr>
    <w:r>
      <w:rPr>
        <w:rFonts w:ascii="Inter" w:cs="Inter" w:eastAsia="Inter" w:hAnsi="Inter"/>
        <w:color w:val="6b6b6b"/>
        <w:sz w:val="18"/>
        <w:szCs w:val="18"/>
      </w:rPr>
      <w:t xml:space="preserve">Building a Content-Led Brand  ·  soorajdivakaran.com</w:t>
    </w:r>
    <w:r>
      <w:t xml:space="preserve">	</w:t>
    </w:r>
    <w:r>
      <w:rPr>
        <w:rFonts w:ascii="Inter" w:cs="Inter" w:eastAsia="Inter" w:hAnsi="Inter"/>
        <w:color w:val="6b6b6b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–"/>
      <w:lvlJc w:val="left"/>
      <w:pPr>
        <w:ind w:left="108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0" w:after="160"/>
      <w:outlineLvl w:val="0"/>
    </w:pPr>
    <w:rPr>
      <w:rFonts w:ascii="Inter" w:cs="Inter" w:eastAsia="Inter" w:hAnsi="Inter"/>
      <w:b/>
      <w:bCs/>
      <w:color w:val="0D0D0D"/>
      <w:sz w:val="52"/>
      <w:szCs w:val="52"/>
    </w:rPr>
  </w:style>
  <w:style w:type="paragraph" w:styleId="Heading2">
    <w:name w:val="Heading 2"/>
    <w:basedOn w:val="Normal"/>
    <w:next w:val="Normal"/>
    <w:qFormat/>
    <w:pPr>
      <w:spacing w:before="360" w:after="120"/>
      <w:outlineLvl w:val="1"/>
    </w:pPr>
    <w:rPr>
      <w:rFonts w:ascii="Inter" w:cs="Inter" w:eastAsia="Inter" w:hAnsi="Inter"/>
      <w:b/>
      <w:bCs/>
      <w:color w:val="0D0D0D"/>
      <w:sz w:val="32"/>
      <w:szCs w:val="32"/>
    </w:rPr>
  </w:style>
  <w:style w:type="paragraph" w:styleId="Heading3">
    <w:name w:val="Heading 3"/>
    <w:basedOn w:val="Normal"/>
    <w:next w:val="Normal"/>
    <w:qFormat/>
    <w:pPr>
      <w:spacing w:before="240" w:after="80"/>
      <w:outlineLvl w:val="2"/>
    </w:pPr>
    <w:rPr>
      <w:rFonts w:ascii="Inter" w:cs="Inter" w:eastAsia="Inter" w:hAnsi="Inter"/>
      <w:b/>
      <w:bCs/>
      <w:color w:val="0D0D0D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2026-03-12T05:45:34.399Z</dcterms:created>
  <dcterms:modified xsi:type="dcterms:W3CDTF">2026-03-12T05:45:34.399Z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